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24 263 vom 9. Oktober 2023</w:t>
      </w:r>
    </w:p>
    <w:p>
      <w:r>
        <w:t>BL Gerichte, 2023-10-09, DE</w:t>
      </w:r>
    </w:p>
    <w:p>
      <w:r>
        <w:rPr>
          <w:b/>
        </w:rPr>
        <w:t xml:space="preserve">Quelle: </w:t>
      </w:r>
      <w:r>
        <w:t>https://mcp.opencaselaw.ch/entscheid/bl_gerichte_810 24 263</w:t>
      </w:r>
    </w:p>
    <w:p>
      <w:r>
        <w:t>FR: BL_GERICHTE 810 24 263 du 9 octobre 2023</w:t>
      </w:r>
    </w:p>
    <w:p>
      <w:r>
        <w:t>IT: BL_GERICHTE 810 24 263 del 9 ottobre 2023</w:t>
      </w:r>
    </w:p>
    <w:p>
      <w:pPr>
        <w:pStyle w:val="Heading2"/>
      </w:pPr>
      <w:r>
        <w:t>Regeste</w:t>
      </w:r>
    </w:p>
    <w:p>
      <w:r>
        <w:t>Kostenauferlegung der Mandatsträgerentschädigung</w:t>
      </w:r>
    </w:p>
    <w:p>
      <w:pPr>
        <w:pStyle w:val="Heading2"/>
      </w:pPr>
      <w:r>
        <w:t>Erwägungen</w:t>
      </w:r>
    </w:p>
    <w:p>
      <w:r>
        <w:rPr>
          <w:b/>
        </w:rPr>
        <w:t>E. 1</w:t>
      </w:r>
    </w:p>
    <w:p>
      <w:r>
        <w:t>Gemäss Art. 450 Abs. 1 ZGB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des Gesetzes über die Verfassungs- und Verwaltungsprozessordnung (VPO) vom 16. Dezember 1993,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Beschwerdeführerin als Adressatin des angefochtenen Entscheids ist zur Beschwerdeerhebung legitimiert.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Beschwerdeführerin hat dem Beigeladenen eine Parteientschädigung in der Höhe von Fr. 2'534.85 (inkl. Auslagen und 8.1 % MWST) auszurichten. Die übrigen Parteikosten werden wettgeschlagen.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